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pPr>
      <w:r>
        <w:rPr>
          <w:rFonts w:ascii="Arial" w:cs="Arial" w:eastAsia="Arial" w:hAnsi="Arial"/>
          <w:b/>
          <w:bCs/>
          <w:caps/>
          <w:color w:val="2563A8"/>
          <w:sz w:val="18"/>
          <w:szCs w:val="18"/>
        </w:rPr>
        <w:t xml:space="preserve">ARTICLE 1.4  ·  SECTION 1: ISO 20000 FOUNDATIONS</w:t>
      </w:r>
    </w:p>
    <w:p>
      <w:pPr>
        <w:spacing w:after="120"/>
      </w:pPr>
      <w:r>
        <w:rPr>
          <w:rFonts w:ascii="Arial" w:cs="Arial" w:eastAsia="Arial" w:hAnsi="Arial"/>
          <w:b/>
          <w:bCs/>
          <w:caps w:val="false"/>
          <w:color w:val="1B3A5C"/>
          <w:sz w:val="44"/>
          <w:szCs w:val="44"/>
        </w:rPr>
        <w:t xml:space="preserve">ISO 20000 and ITIL: Understanding the Relationship</w:t>
      </w:r>
    </w:p>
    <w:p>
      <w:pPr>
        <w:spacing w:after="60"/>
      </w:pPr>
      <w:r>
        <w:rPr>
          <w:rFonts w:ascii="Georgia" w:cs="Georgia" w:eastAsia="Georgia" w:hAnsi="Georgia"/>
          <w:b w:val="false"/>
          <w:bCs w:val="false"/>
          <w:color w:val="4B5563"/>
          <w:sz w:val="24"/>
          <w:szCs w:val="24"/>
        </w:rPr>
        <w:t xml:space="preserve">How ISO 20000 and ITIL relate and differ — ISO 20000 as the auditable management system standard, ITIL 4 as the framework of practices and guidance, how organizations use ITIL to implement ISO 20000 requirements, and why certification requires more than ITIL adoption.</w:t>
      </w:r>
    </w:p>
    <w:p>
      <w:pPr>
        <w:spacing w:after="40"/>
      </w:pPr>
      <w:r>
        <w:rPr>
          <w:rFonts w:ascii="Arial" w:cs="Arial" w:eastAsia="Arial" w:hAnsi="Arial"/>
          <w:b w:val="false"/>
          <w:bCs w:val="false"/>
          <w:caps w:val="false"/>
          <w:color w:val="9CA3AF"/>
          <w:sz w:val="18"/>
          <w:szCs w:val="18"/>
        </w:rPr>
        <w:t xml:space="preserve">Bitlion GRC Documentation  ·  Updated April 2026  ·  Reading time: ~13 min read</w:t>
      </w:r>
    </w:p>
    <w:p>
      <w:pPr>
        <w:pBdr>
          <w:bottom w:val="single" w:color="D1D5DB" w:sz="2" w:space="1"/>
        </w:pBdr>
        <w:spacing w:after="200" w:before="200"/>
      </w:pPr>
      <w:r>
        <w:t xml:space="preserve"/>
      </w:r>
    </w:p>
    <w:p>
      <w:pPr>
        <w:spacing w:after="100"/>
      </w:pPr>
      <w:r>
        <w:t xml:space="preserve"/>
      </w:r>
    </w:p>
    <w:p>
      <w:pPr>
        <w:pBdr>
          <w:bottom w:val="single" w:color="2563A8" w:sz="4" w:space="4"/>
        </w:pBdr>
        <w:spacing w:after="160" w:before="400"/>
      </w:pPr>
      <w:r>
        <w:rPr>
          <w:rFonts w:ascii="Arial" w:cs="Arial" w:eastAsia="Arial" w:hAnsi="Arial"/>
          <w:b/>
          <w:bCs/>
          <w:caps w:val="false"/>
          <w:color w:val="1B3A5C"/>
          <w:sz w:val="28"/>
          <w:szCs w:val="28"/>
        </w:rPr>
        <w:t xml:space="preserve">A Question Every Practitioner Asks</w:t>
      </w:r>
    </w:p>
    <w:p>
      <w:pPr>
        <w:spacing w:after="160" w:line="320"/>
        <w:jc w:val="both"/>
      </w:pPr>
      <w:r>
        <w:rPr>
          <w:rFonts w:ascii="Georgia" w:cs="Georgia" w:eastAsia="Georgia" w:hAnsi="Georgia"/>
          <w:b w:val="false"/>
          <w:bCs w:val="false"/>
          <w:color w:val="111827"/>
          <w:sz w:val="22"/>
          <w:szCs w:val="22"/>
        </w:rPr>
        <w:t xml:space="preserve">Walk into any IT department that has been managing services for more than a few years, and you will almost certainly find ITIL. ITIL — the IT Infrastructure Library — has been the dominant IT service management framework globally for decades. Its language of incidents, problems, changes, releases, and service desks has become the lingua franca of IT operations. So when organizations first encounter ISO 20000, the instinctive question is: “we already do ITIL — are we already ISO 20000 compliant?”</w:t>
      </w:r>
    </w:p>
    <w:p>
      <w:pPr>
        <w:spacing w:after="160" w:line="320"/>
        <w:jc w:val="both"/>
      </w:pPr>
      <w:r>
        <w:rPr>
          <w:rFonts w:ascii="Georgia" w:cs="Georgia" w:eastAsia="Georgia" w:hAnsi="Georgia"/>
          <w:b w:val="false"/>
          <w:bCs w:val="false"/>
          <w:color w:val="111827"/>
          <w:sz w:val="22"/>
          <w:szCs w:val="22"/>
        </w:rPr>
        <w:t xml:space="preserve">The short answer is: probably not, and understanding why is one of the most important conceptual foundations for any ISO 20000 implementation. ITIL and ISO 20000 are complementary but fundamentally different in nature, purpose, and what they require. Conflating them leads to implementation programs that produce process documentation without genuine management system governance — which is precisely the failure mode that ISO 20000 certification audits are designed to detect.</w:t>
      </w:r>
    </w:p>
    <w:p>
      <w:pPr>
        <w:spacing w:after="160" w:line="320"/>
        <w:jc w:val="both"/>
      </w:pPr>
      <w:r>
        <w:rPr>
          <w:rFonts w:ascii="Georgia" w:cs="Georgia" w:eastAsia="Georgia" w:hAnsi="Georgia"/>
          <w:b w:val="false"/>
          <w:bCs w:val="false"/>
          <w:color w:val="111827"/>
          <w:sz w:val="22"/>
          <w:szCs w:val="22"/>
        </w:rPr>
        <w:t xml:space="preserve">This article explains the relationship clearly: what ITIL is, what ISO 20000 is, where they overlap, where they diverge, how organizations can use ITIL as implementation content for their SMS, and what ISO 20000 requires beyond what any ITIL adoption program delivers.</w:t>
      </w:r>
    </w:p>
    <w:p>
      <w:pPr>
        <w:pBdr>
          <w:bottom w:val="single" w:color="2563A8" w:sz="4" w:space="4"/>
        </w:pBdr>
        <w:spacing w:after="160" w:before="400"/>
      </w:pPr>
      <w:r>
        <w:rPr>
          <w:rFonts w:ascii="Arial" w:cs="Arial" w:eastAsia="Arial" w:hAnsi="Arial"/>
          <w:b/>
          <w:bCs/>
          <w:caps w:val="false"/>
          <w:color w:val="1B3A5C"/>
          <w:sz w:val="28"/>
          <w:szCs w:val="28"/>
        </w:rPr>
        <w:t xml:space="preserve">What ITIL Is: A Framework of Guidance</w:t>
      </w:r>
    </w:p>
    <w:p>
      <w:pPr>
        <w:spacing w:after="160" w:line="320"/>
        <w:jc w:val="both"/>
      </w:pPr>
      <w:r>
        <w:rPr>
          <w:rFonts w:ascii="Georgia" w:cs="Georgia" w:eastAsia="Georgia" w:hAnsi="Georgia"/>
          <w:b w:val="false"/>
          <w:bCs w:val="false"/>
          <w:color w:val="111827"/>
          <w:sz w:val="22"/>
          <w:szCs w:val="22"/>
        </w:rPr>
        <w:t xml:space="preserve">ITIL (IT Infrastructure Library) originated in the UK government in the 1980s as a collection of best practice guidance for IT service management. Over three major versions — ITIL v2, ITIL v3/2011, and now ITIL 4 (published 2019) — it has evolved from a detailed set of process guides into a broad service management framework built around the concept of value co-creation and organized into a Service Value System (SVS).</w:t>
      </w:r>
    </w:p>
    <w:p>
      <w:pPr>
        <w:spacing w:after="160" w:line="320"/>
        <w:jc w:val="both"/>
      </w:pPr>
      <w:r>
        <w:rPr>
          <w:rFonts w:ascii="Georgia" w:cs="Georgia" w:eastAsia="Georgia" w:hAnsi="Georgia"/>
          <w:b w:val="false"/>
          <w:bCs w:val="false"/>
          <w:color w:val="111827"/>
          <w:sz w:val="22"/>
          <w:szCs w:val="22"/>
        </w:rPr>
        <w:t xml:space="preserve">ITIL 4 centers on the Service Value System, which describes how all components of an organization work together to enable value creation. Within the SVS, ITIL defines 34 management practices — structured sets of organizational resources designed for performing work. These include practices directly familiar from earlier ITIL versions (incident management, change enablement, problem management, service desk, release management, configuration management) alongside newer practices covering topics like workforce and talent management, organizational change management, and portfolio management.</w:t>
      </w:r>
    </w:p>
    <w:p>
      <w:pPr>
        <w:spacing w:after="160" w:line="320"/>
        <w:jc w:val="both"/>
      </w:pPr>
      <w:r>
        <w:rPr>
          <w:rFonts w:ascii="Georgia" w:cs="Georgia" w:eastAsia="Georgia" w:hAnsi="Georgia"/>
          <w:b w:val="false"/>
          <w:bCs w:val="false"/>
          <w:color w:val="111827"/>
          <w:sz w:val="22"/>
          <w:szCs w:val="22"/>
        </w:rPr>
        <w:t xml:space="preserve">Critically, ITIL is guidance. It describes how to do things effectively, but it does not mandate specific implementations. Two organizations can both describe themselves as “ITIL-aligned” while operating completely different processes, at completely different maturity levels, with completely different governance structures. ITIL itself makes no prescriptive requirement that you must have a documented change advisory board, that your problem records must have a specific set of fields, or that your management must formally review service performance against defined objectives at set intervals.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80"/>
        <w:gridCol w:w="8880"/>
      </w:tblGrid>
      <w:tr>
        <w:tc>
          <w:tcPr>
            <w:tcW w:type="dxa" w:w="480"/>
            <w:tcBorders>
              <w:top w:val="single" w:color="C7D9F0" w:sz="1"/>
              <w:left w:val="single" w:color="C7D9F0" w:sz="1"/>
              <w:bottom w:val="single" w:color="C7D9F0" w:sz="1"/>
              <w:right w:val="none" w:color="FFFFFF" w:sz="0"/>
            </w:tcBorders>
            <w:shd w:fill="2563A8" w:val="clear"/>
            <w:tcMar>
              <w:top w:type="dxa" w:w="120"/>
              <w:left w:type="dxa" w:w="160"/>
              <w:bottom w:type="dxa" w:w="120"/>
              <w:right w:type="dxa" w:w="80"/>
            </w:tcMar>
            <w:vAlign w:val="center"/>
          </w:tcPr>
          <w:p>
            <w:pPr>
              <w:jc w:val="center"/>
            </w:pPr>
            <w:r>
              <w:rPr>
                <w:rFonts w:ascii="Arial" w:cs="Arial" w:eastAsia="Arial" w:hAnsi="Arial"/>
                <w:b/>
                <w:bCs/>
                <w:caps w:val="false"/>
                <w:color w:val="FFFFFF"/>
                <w:sz w:val="18"/>
                <w:szCs w:val="18"/>
              </w:rPr>
              <w:t xml:space="preserve">KEY CONCEPT</w:t>
            </w:r>
          </w:p>
        </w:tc>
        <w:tc>
          <w:tcPr>
            <w:tcW w:type="dxa" w:w="8880"/>
            <w:tcBorders>
              <w:top w:val="single" w:color="C7D9F0" w:sz="1"/>
              <w:left w:val="none" w:color="FFFFFF" w:sz="0"/>
              <w:bottom w:val="single" w:color="C7D9F0" w:sz="1"/>
              <w:right w:val="single" w:color="C7D9F0" w:sz="1"/>
            </w:tcBorders>
            <w:shd w:fill="EBF2FB" w:val="clear"/>
            <w:tcMar>
              <w:top w:type="dxa" w:w="120"/>
              <w:left w:type="dxa" w:w="160"/>
              <w:bottom w:type="dxa" w:w="120"/>
              <w:right w:type="dxa" w:w="160"/>
            </w:tcMar>
          </w:tcPr>
          <w:p>
            <w:r>
              <w:rPr>
                <w:rFonts w:ascii="Georgia" w:cs="Georgia" w:eastAsia="Georgia" w:hAnsi="Georgia"/>
                <w:b w:val="false"/>
                <w:bCs w:val="false"/>
                <w:color w:val="1B3A5C"/>
                <w:sz w:val="21"/>
                <w:szCs w:val="21"/>
              </w:rPr>
              <w:t xml:space="preserve">ITIL certification — whether individual (Foundation, Practitioner, Strategic Leader, Managing Professional) or organizational — demonstrates that staff understand ITIL concepts or that an organization has been assessed against ITIL maturity criteria. It does not provide independent third-party verification that the organization’s SMS meets a defined set of requirements. ISO 20000 certification does.</w:t>
            </w:r>
          </w:p>
        </w:tc>
      </w:tr>
    </w:tbl>
    <w:p>
      <w:pPr>
        <w:pBdr>
          <w:bottom w:val="single" w:color="2563A8" w:sz="4" w:space="4"/>
        </w:pBdr>
        <w:spacing w:after="160" w:before="400"/>
      </w:pPr>
      <w:r>
        <w:rPr>
          <w:rFonts w:ascii="Arial" w:cs="Arial" w:eastAsia="Arial" w:hAnsi="Arial"/>
          <w:b/>
          <w:bCs/>
          <w:caps w:val="false"/>
          <w:color w:val="1B3A5C"/>
          <w:sz w:val="28"/>
          <w:szCs w:val="28"/>
        </w:rPr>
        <w:t xml:space="preserve">What ISO 20000 Is: A Requirements Standard</w:t>
      </w:r>
    </w:p>
    <w:p>
      <w:pPr>
        <w:spacing w:after="160" w:line="320"/>
        <w:jc w:val="both"/>
      </w:pPr>
      <w:r>
        <w:rPr>
          <w:rFonts w:ascii="Georgia" w:cs="Georgia" w:eastAsia="Georgia" w:hAnsi="Georgia"/>
          <w:b w:val="false"/>
          <w:bCs w:val="false"/>
          <w:color w:val="111827"/>
          <w:sz w:val="22"/>
          <w:szCs w:val="22"/>
        </w:rPr>
        <w:t xml:space="preserve">ISO/IEC 20000-1:2018 is a requirements standard. Every statement of obligation in the standard uses the word “shall” — the ISO convention for a mandatory requirement. When an organization seeks ISO 20000 certification, an accredited certification body sends qualified auditors to verify that every “shall” in the standard is being met. Auditors examine documented information, interview staff, observe processes in operation, and test whether service management records demonstrate that the SMS is genuinely working as required — not merely that it has been designed on paper.</w:t>
      </w:r>
    </w:p>
    <w:p>
      <w:pPr>
        <w:spacing w:after="160" w:line="320"/>
        <w:jc w:val="both"/>
      </w:pPr>
      <w:r>
        <w:rPr>
          <w:rFonts w:ascii="Georgia" w:cs="Georgia" w:eastAsia="Georgia" w:hAnsi="Georgia"/>
          <w:b w:val="false"/>
          <w:bCs w:val="false"/>
          <w:color w:val="111827"/>
          <w:sz w:val="22"/>
          <w:szCs w:val="22"/>
        </w:rPr>
        <w:t xml:space="preserve">ISO 20000 does not tell organizations how to meet its requirements. It specifies what must be achieved but leaves the how to the organization. An organization can use ITIL practices, COBIT controls, homegrown procedures, or any other methodology as the operational content of its SMS — provided the SMS meets all the standard’s requirements and can evidence that compliance to an auditor. The standard does not mention ITIL. It does not require adoption of any specific framework.</w:t>
      </w:r>
    </w:p>
    <w:p>
      <w:pPr>
        <w:spacing w:after="160" w:line="320"/>
        <w:jc w:val="both"/>
      </w:pPr>
      <w:r>
        <w:rPr>
          <w:rFonts w:ascii="Georgia" w:cs="Georgia" w:eastAsia="Georgia" w:hAnsi="Georgia"/>
          <w:b w:val="false"/>
          <w:bCs w:val="false"/>
          <w:color w:val="111827"/>
          <w:sz w:val="22"/>
          <w:szCs w:val="22"/>
        </w:rPr>
        <w:t xml:space="preserve">This means that ISO 20000 is framework-agnostic, auditable, and internationally comparable. An ISO 20000 certificate from an IAF-accredited certification body carries the same meaning whether issued in Indonesia, Germany, or Singapore: an independent auditor has verified that the organization’s SMS meets the requirements of the standard. No equivalent statement can be made for ITIL adoption.</w:t>
      </w:r>
    </w:p>
    <w:p>
      <w:pPr>
        <w:pBdr>
          <w:bottom w:val="single" w:color="2563A8" w:sz="4" w:space="4"/>
        </w:pBdr>
        <w:spacing w:after="160" w:before="400"/>
      </w:pPr>
      <w:r>
        <w:rPr>
          <w:rFonts w:ascii="Arial" w:cs="Arial" w:eastAsia="Arial" w:hAnsi="Arial"/>
          <w:b/>
          <w:bCs/>
          <w:caps w:val="false"/>
          <w:color w:val="1B3A5C"/>
          <w:sz w:val="28"/>
          <w:szCs w:val="28"/>
        </w:rPr>
        <w:t xml:space="preserve">Where ITIL and ISO 20000 Overlap</w:t>
      </w:r>
    </w:p>
    <w:p>
      <w:pPr>
        <w:spacing w:after="160" w:line="320"/>
        <w:jc w:val="both"/>
      </w:pPr>
      <w:r>
        <w:rPr>
          <w:rFonts w:ascii="Georgia" w:cs="Georgia" w:eastAsia="Georgia" w:hAnsi="Georgia"/>
          <w:b w:val="false"/>
          <w:bCs w:val="false"/>
          <w:color w:val="111827"/>
          <w:sz w:val="22"/>
          <w:szCs w:val="22"/>
        </w:rPr>
        <w:t xml:space="preserve">The overlap between ITIL and ISO 20000 is substantial, which is why many organizations find that their ITIL foundation provides a strong starting point for SMS implementation. Both frameworks share a common vocabulary — services, incidents, problems, changes, configurations, releases, service levels, customers, suppliers — that makes translating between them relatively straightforward. Both emphasize the importance of customer-defined service requirements, measurable service levels, and continual improvement. And many of the practices that ITIL describes in detail are directly relevant to ISO 20000’s Clause 8 service management practice requirements.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800"/>
        <w:gridCol w:w="3280"/>
        <w:gridCol w:w="3280"/>
      </w:tblGrid>
      <w:tr>
        <w:trPr>
          <w:tblHeader/>
        </w:trPr>
        <w:tc>
          <w:tcPr>
            <w:tcW w:type="dxa" w:w="2800"/>
            <w:tcBorders>
              <w:top w:val="single" w:color="CCCCCC" w:sz="1"/>
              <w:left w:val="single" w:color="CCCCCC" w:sz="1"/>
              <w:bottom w:val="single" w:color="CCCCCC" w:sz="1"/>
              <w:right w:val="single" w:color="CCCCCC" w:sz="1"/>
            </w:tcBorders>
            <w:shd w:fill="2563A8" w:val="clear"/>
            <w:tcMar>
              <w:top w:type="dxa" w:w="80"/>
              <w:left w:type="dxa" w:w="120"/>
              <w:bottom w:type="dxa" w:w="80"/>
              <w:right w:type="dxa" w:w="120"/>
            </w:tcMar>
          </w:tcPr>
          <w:p>
            <w:r>
              <w:rPr>
                <w:rFonts w:ascii="Arial" w:cs="Arial" w:eastAsia="Arial" w:hAnsi="Arial"/>
                <w:b/>
                <w:bCs/>
                <w:caps w:val="false"/>
                <w:color w:val="FFFFFF"/>
                <w:sz w:val="18"/>
                <w:szCs w:val="18"/>
              </w:rPr>
              <w:t xml:space="preserve">ISO 20000 Clause 8 Requirement</w:t>
            </w:r>
          </w:p>
        </w:tc>
        <w:tc>
          <w:tcPr>
            <w:tcW w:type="dxa" w:w="3280"/>
            <w:tcBorders>
              <w:top w:val="single" w:color="CCCCCC" w:sz="1"/>
              <w:left w:val="single" w:color="CCCCCC" w:sz="1"/>
              <w:bottom w:val="single" w:color="CCCCCC" w:sz="1"/>
              <w:right w:val="single" w:color="CCCCCC" w:sz="1"/>
            </w:tcBorders>
            <w:shd w:fill="2563A8" w:val="clear"/>
            <w:tcMar>
              <w:top w:type="dxa" w:w="80"/>
              <w:left w:type="dxa" w:w="120"/>
              <w:bottom w:type="dxa" w:w="80"/>
              <w:right w:type="dxa" w:w="120"/>
            </w:tcMar>
          </w:tcPr>
          <w:p>
            <w:r>
              <w:rPr>
                <w:rFonts w:ascii="Arial" w:cs="Arial" w:eastAsia="Arial" w:hAnsi="Arial"/>
                <w:b/>
                <w:bCs/>
                <w:caps w:val="false"/>
                <w:color w:val="FFFFFF"/>
                <w:sz w:val="18"/>
                <w:szCs w:val="18"/>
              </w:rPr>
              <w:t xml:space="preserve">Corresponding ITIL 4 Practice(s)</w:t>
            </w:r>
          </w:p>
        </w:tc>
        <w:tc>
          <w:tcPr>
            <w:tcW w:type="dxa" w:w="3280"/>
            <w:tcBorders>
              <w:top w:val="single" w:color="CCCCCC" w:sz="1"/>
              <w:left w:val="single" w:color="CCCCCC" w:sz="1"/>
              <w:bottom w:val="single" w:color="CCCCCC" w:sz="1"/>
              <w:right w:val="single" w:color="CCCCCC" w:sz="1"/>
            </w:tcBorders>
            <w:shd w:fill="2563A8" w:val="clear"/>
            <w:tcMar>
              <w:top w:type="dxa" w:w="80"/>
              <w:left w:type="dxa" w:w="120"/>
              <w:bottom w:type="dxa" w:w="80"/>
              <w:right w:type="dxa" w:w="120"/>
            </w:tcMar>
          </w:tcPr>
          <w:p>
            <w:r>
              <w:rPr>
                <w:rFonts w:ascii="Arial" w:cs="Arial" w:eastAsia="Arial" w:hAnsi="Arial"/>
                <w:b/>
                <w:bCs/>
                <w:caps w:val="false"/>
                <w:color w:val="FFFFFF"/>
                <w:sz w:val="18"/>
                <w:szCs w:val="18"/>
              </w:rPr>
              <w:t xml:space="preserve">Overlap Level</w:t>
            </w:r>
          </w:p>
        </w:tc>
      </w:tr>
      <w:tr>
        <w:tc>
          <w:tcPr>
            <w:tcW w:type="dxa" w:w="28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bCs/>
                <w:color w:val="111827"/>
                <w:sz w:val="18"/>
                <w:szCs w:val="18"/>
              </w:rPr>
              <w:t xml:space="preserve">8.6.1 Incident management</w:t>
            </w:r>
          </w:p>
        </w:tc>
        <w:tc>
          <w:tcPr>
            <w:tcW w:type="dxa" w:w="32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Incident Management practice</w:t>
            </w:r>
          </w:p>
        </w:tc>
        <w:tc>
          <w:tcPr>
            <w:tcW w:type="dxa" w:w="32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High — ITIL detail maps closely</w:t>
            </w:r>
          </w:p>
        </w:tc>
      </w:tr>
      <w:tr>
        <w:tc>
          <w:tcPr>
            <w:tcW w:type="dxa" w:w="280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bCs/>
                <w:color w:val="111827"/>
                <w:sz w:val="18"/>
                <w:szCs w:val="18"/>
              </w:rPr>
              <w:t xml:space="preserve">8.6.2 Service request management</w:t>
            </w:r>
          </w:p>
        </w:tc>
        <w:tc>
          <w:tcPr>
            <w:tcW w:type="dxa" w:w="328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Service Request Management practice</w:t>
            </w:r>
          </w:p>
        </w:tc>
        <w:tc>
          <w:tcPr>
            <w:tcW w:type="dxa" w:w="328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High — ITIL detail maps closely</w:t>
            </w:r>
          </w:p>
        </w:tc>
      </w:tr>
      <w:tr>
        <w:tc>
          <w:tcPr>
            <w:tcW w:type="dxa" w:w="28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bCs/>
                <w:color w:val="111827"/>
                <w:sz w:val="18"/>
                <w:szCs w:val="18"/>
              </w:rPr>
              <w:t xml:space="preserve">8.6.3 Problem management</w:t>
            </w:r>
          </w:p>
        </w:tc>
        <w:tc>
          <w:tcPr>
            <w:tcW w:type="dxa" w:w="32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Problem Management practice</w:t>
            </w:r>
          </w:p>
        </w:tc>
        <w:tc>
          <w:tcPr>
            <w:tcW w:type="dxa" w:w="32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High — ITIL detail maps closely</w:t>
            </w:r>
          </w:p>
        </w:tc>
      </w:tr>
      <w:tr>
        <w:tc>
          <w:tcPr>
            <w:tcW w:type="dxa" w:w="280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bCs/>
                <w:color w:val="111827"/>
                <w:sz w:val="18"/>
                <w:szCs w:val="18"/>
              </w:rPr>
              <w:t xml:space="preserve">8.6.4 Configuration management</w:t>
            </w:r>
          </w:p>
        </w:tc>
        <w:tc>
          <w:tcPr>
            <w:tcW w:type="dxa" w:w="328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Service Configuration Management practice</w:t>
            </w:r>
          </w:p>
        </w:tc>
        <w:tc>
          <w:tcPr>
            <w:tcW w:type="dxa" w:w="328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High — ITIL CMDB concept directly applicable</w:t>
            </w:r>
          </w:p>
        </w:tc>
      </w:tr>
      <w:tr>
        <w:tc>
          <w:tcPr>
            <w:tcW w:type="dxa" w:w="28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bCs/>
                <w:color w:val="111827"/>
                <w:sz w:val="18"/>
                <w:szCs w:val="18"/>
              </w:rPr>
              <w:t xml:space="preserve">8.6.5 Change management</w:t>
            </w:r>
          </w:p>
        </w:tc>
        <w:tc>
          <w:tcPr>
            <w:tcW w:type="dxa" w:w="32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Change Enablement practice</w:t>
            </w:r>
          </w:p>
        </w:tc>
        <w:tc>
          <w:tcPr>
            <w:tcW w:type="dxa" w:w="32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High — ITIL change types and CAB concept applicable</w:t>
            </w:r>
          </w:p>
        </w:tc>
      </w:tr>
      <w:tr>
        <w:tc>
          <w:tcPr>
            <w:tcW w:type="dxa" w:w="280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bCs/>
                <w:color w:val="111827"/>
                <w:sz w:val="18"/>
                <w:szCs w:val="18"/>
              </w:rPr>
              <w:t xml:space="preserve">8.6.6 Release management</w:t>
            </w:r>
          </w:p>
        </w:tc>
        <w:tc>
          <w:tcPr>
            <w:tcW w:type="dxa" w:w="328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Release Management practice</w:t>
            </w:r>
          </w:p>
        </w:tc>
        <w:tc>
          <w:tcPr>
            <w:tcW w:type="dxa" w:w="328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High — ITIL release cycle directly applicable</w:t>
            </w:r>
          </w:p>
        </w:tc>
      </w:tr>
      <w:tr>
        <w:tc>
          <w:tcPr>
            <w:tcW w:type="dxa" w:w="28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bCs/>
                <w:color w:val="111827"/>
                <w:sz w:val="18"/>
                <w:szCs w:val="18"/>
              </w:rPr>
              <w:t xml:space="preserve">8.5.1 Service design</w:t>
            </w:r>
          </w:p>
        </w:tc>
        <w:tc>
          <w:tcPr>
            <w:tcW w:type="dxa" w:w="32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Service Design practice, Architecture Management</w:t>
            </w:r>
          </w:p>
        </w:tc>
        <w:tc>
          <w:tcPr>
            <w:tcW w:type="dxa" w:w="32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Medium — ITIL covers design; ISO 20000 focuses on requirements</w:t>
            </w:r>
          </w:p>
        </w:tc>
      </w:tr>
      <w:tr>
        <w:tc>
          <w:tcPr>
            <w:tcW w:type="dxa" w:w="280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bCs/>
                <w:color w:val="111827"/>
                <w:sz w:val="18"/>
                <w:szCs w:val="18"/>
              </w:rPr>
              <w:t xml:space="preserve">8.3 Relationship management</w:t>
            </w:r>
          </w:p>
        </w:tc>
        <w:tc>
          <w:tcPr>
            <w:tcW w:type="dxa" w:w="328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Relationship Management, Supplier Management practices</w:t>
            </w:r>
          </w:p>
        </w:tc>
        <w:tc>
          <w:tcPr>
            <w:tcW w:type="dxa" w:w="328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Medium — ITIL covers; ISO 20000 also requires documented agreements</w:t>
            </w:r>
          </w:p>
        </w:tc>
      </w:tr>
      <w:tr>
        <w:tc>
          <w:tcPr>
            <w:tcW w:type="dxa" w:w="28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bCs/>
                <w:color w:val="111827"/>
                <w:sz w:val="18"/>
                <w:szCs w:val="18"/>
              </w:rPr>
              <w:t xml:space="preserve">8.7 Service assurance (availability, continuity, capacity)</w:t>
            </w:r>
          </w:p>
        </w:tc>
        <w:tc>
          <w:tcPr>
            <w:tcW w:type="dxa" w:w="32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Availability, Capacity, IT Asset, Business Analysis practices</w:t>
            </w:r>
          </w:p>
        </w:tc>
        <w:tc>
          <w:tcPr>
            <w:tcW w:type="dxa" w:w="32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Medium — ITIL provides guidance; ISO 20000 requires evidence</w:t>
            </w:r>
          </w:p>
        </w:tc>
      </w:tr>
    </w:tbl>
    <w:p>
      <w:pPr>
        <w:spacing w:after="80"/>
      </w:pPr>
      <w:r>
        <w:t xml:space="preserve"/>
      </w:r>
    </w:p>
    <w:p>
      <w:pPr>
        <w:pBdr>
          <w:bottom w:val="single" w:color="2563A8" w:sz="4" w:space="4"/>
        </w:pBdr>
        <w:spacing w:after="160" w:before="400"/>
      </w:pPr>
      <w:r>
        <w:rPr>
          <w:rFonts w:ascii="Arial" w:cs="Arial" w:eastAsia="Arial" w:hAnsi="Arial"/>
          <w:b/>
          <w:bCs/>
          <w:caps w:val="false"/>
          <w:color w:val="1B3A5C"/>
          <w:sz w:val="28"/>
          <w:szCs w:val="28"/>
        </w:rPr>
        <w:t xml:space="preserve">Where ISO 20000 Goes Beyond ITIL</w:t>
      </w:r>
    </w:p>
    <w:p>
      <w:pPr>
        <w:spacing w:after="160" w:line="320"/>
        <w:jc w:val="both"/>
      </w:pPr>
      <w:r>
        <w:rPr>
          <w:rFonts w:ascii="Georgia" w:cs="Georgia" w:eastAsia="Georgia" w:hAnsi="Georgia"/>
          <w:b w:val="false"/>
          <w:bCs w:val="false"/>
          <w:color w:val="111827"/>
          <w:sz w:val="22"/>
          <w:szCs w:val="22"/>
        </w:rPr>
        <w:t xml:space="preserve">The most important gaps between ITIL adoption and ISO 20000 compliance fall into three categories: management system governance, documented information requirements, and evidence of operational effectiveness.</w:t>
      </w:r>
    </w:p>
    <w:p>
      <w:pPr>
        <w:spacing w:after="160" w:line="320"/>
        <w:jc w:val="both"/>
      </w:pPr>
      <w:r>
        <w:rPr>
          <w:rFonts w:ascii="Georgia" w:cs="Georgia" w:eastAsia="Georgia" w:hAnsi="Georgia"/>
          <w:b w:val="false"/>
          <w:bCs w:val="false"/>
          <w:color w:val="111827"/>
          <w:sz w:val="22"/>
          <w:szCs w:val="22"/>
        </w:rPr>
        <w:t xml:space="preserve">Management system governance is the layer that ITIL does not address at all. ISO 20000 requires top management commitment evidenced by specific actions (Clause 5), a service management policy (Clause 5.2), organizational roles and responsibilities formally assigned (Clause 5.3), a documented service management plan (Clause 6.3), a formal risk management process applied to the SMS (Clause 6.1), a formal internal audit program (Clause 9.2), and formal management reviews at planned intervals (Clause 9.3). ITIL has nothing to say about any of these. An organization can implement all 34 ITIL 4 practices in full and still lack every one of these management system governance requirements.</w:t>
      </w:r>
    </w:p>
    <w:p>
      <w:pPr>
        <w:spacing w:after="160" w:line="320"/>
        <w:jc w:val="both"/>
      </w:pPr>
      <w:r>
        <w:rPr>
          <w:rFonts w:ascii="Georgia" w:cs="Georgia" w:eastAsia="Georgia" w:hAnsi="Georgia"/>
          <w:b w:val="false"/>
          <w:bCs w:val="false"/>
          <w:color w:val="111827"/>
          <w:sz w:val="22"/>
          <w:szCs w:val="22"/>
        </w:rPr>
        <w:t xml:space="preserve">Documented information requirements are more detailed in ISO 20000 than ITIL implies. The standard specifies particular types of documented information that must be created and maintained — scope statement, service management policy, service management plan, service level agreements, incident records, problem records, change records, configuration records, internal audit reports, management review minutes, and more. ITIL recommends good documentation practices but does not define a mandatory documented information set. In ISO 20000 certification audits, the absence of required documented information is one of the most common nonconformity types.</w:t>
      </w:r>
    </w:p>
    <w:p>
      <w:pPr>
        <w:spacing w:after="160" w:line="320"/>
        <w:jc w:val="both"/>
      </w:pPr>
      <w:r>
        <w:rPr>
          <w:rFonts w:ascii="Georgia" w:cs="Georgia" w:eastAsia="Georgia" w:hAnsi="Georgia"/>
          <w:b w:val="false"/>
          <w:bCs w:val="false"/>
          <w:color w:val="111827"/>
          <w:sz w:val="22"/>
          <w:szCs w:val="22"/>
        </w:rPr>
        <w:t xml:space="preserve">Evidence of operational effectiveness is what differentiates a working SMS from a documented one. ISO 20000 auditors do not merely check that processes are documented — they check that those processes are being followed and that the service management activities they describe are genuinely happening. This means examining incident records to verify that classification, escalation, and resolution timelines match the documented process. It means checking that problem records link to incident patterns. It means verifying that change records show approval authority, implementation evidence, and post-implementation review. ITIL process documentation alone, without this operational evidence trail, will not satisfy a Stage 2 audit.</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80"/>
        <w:gridCol w:w="8880"/>
      </w:tblGrid>
      <w:tr>
        <w:tc>
          <w:tcPr>
            <w:tcW w:type="dxa" w:w="480"/>
            <w:tcBorders>
              <w:top w:val="single" w:color="C7D9F0" w:sz="1"/>
              <w:left w:val="single" w:color="C7D9F0" w:sz="1"/>
              <w:bottom w:val="single" w:color="C7D9F0" w:sz="1"/>
              <w:right w:val="none" w:color="FFFFFF" w:sz="0"/>
            </w:tcBorders>
            <w:shd w:fill="2563A8" w:val="clear"/>
            <w:tcMar>
              <w:top w:type="dxa" w:w="120"/>
              <w:left w:type="dxa" w:w="160"/>
              <w:bottom w:type="dxa" w:w="120"/>
              <w:right w:type="dxa" w:w="80"/>
            </w:tcMar>
            <w:vAlign w:val="center"/>
          </w:tcPr>
          <w:p>
            <w:pPr>
              <w:jc w:val="center"/>
            </w:pPr>
            <w:r>
              <w:rPr>
                <w:rFonts w:ascii="Arial" w:cs="Arial" w:eastAsia="Arial" w:hAnsi="Arial"/>
                <w:b/>
                <w:bCs/>
                <w:caps w:val="false"/>
                <w:color w:val="FFFFFF"/>
                <w:sz w:val="18"/>
                <w:szCs w:val="18"/>
              </w:rPr>
              <w:t xml:space="preserve">IMPORTANT</w:t>
            </w:r>
          </w:p>
        </w:tc>
        <w:tc>
          <w:tcPr>
            <w:tcW w:type="dxa" w:w="8880"/>
            <w:tcBorders>
              <w:top w:val="single" w:color="C7D9F0" w:sz="1"/>
              <w:left w:val="none" w:color="FFFFFF" w:sz="0"/>
              <w:bottom w:val="single" w:color="C7D9F0" w:sz="1"/>
              <w:right w:val="single" w:color="C7D9F0" w:sz="1"/>
            </w:tcBorders>
            <w:shd w:fill="EBF2FB" w:val="clear"/>
            <w:tcMar>
              <w:top w:type="dxa" w:w="120"/>
              <w:left w:type="dxa" w:w="160"/>
              <w:bottom w:type="dxa" w:w="120"/>
              <w:right w:type="dxa" w:w="160"/>
            </w:tcMar>
          </w:tcPr>
          <w:p>
            <w:r>
              <w:rPr>
                <w:rFonts w:ascii="Georgia" w:cs="Georgia" w:eastAsia="Georgia" w:hAnsi="Georgia"/>
                <w:b w:val="false"/>
                <w:bCs w:val="false"/>
                <w:color w:val="1B3A5C"/>
                <w:sz w:val="21"/>
                <w:szCs w:val="21"/>
              </w:rPr>
              <w:t xml:space="preserve">One of the most common ISO 20000 implementation failures is treating the project as a documentation exercise. Organizations produce comprehensive ITIL-aligned process documents but fail to operate those processes consistently, fail to maintain required records, and fail to build the management system governance layer. Auditors typically identify this pattern within the first hour of a Stage 2 fieldwork day.</w:t>
            </w:r>
          </w:p>
        </w:tc>
      </w:tr>
    </w:tbl>
    <w:p>
      <w:pPr>
        <w:pBdr>
          <w:bottom w:val="single" w:color="2563A8" w:sz="4" w:space="4"/>
        </w:pBdr>
        <w:spacing w:after="160" w:before="400"/>
      </w:pPr>
      <w:r>
        <w:rPr>
          <w:rFonts w:ascii="Arial" w:cs="Arial" w:eastAsia="Arial" w:hAnsi="Arial"/>
          <w:b/>
          <w:bCs/>
          <w:caps w:val="false"/>
          <w:color w:val="1B3A5C"/>
          <w:sz w:val="28"/>
          <w:szCs w:val="28"/>
        </w:rPr>
        <w:t xml:space="preserve">How to Use ITIL as SMS Implementation Content</w:t>
      </w:r>
    </w:p>
    <w:p>
      <w:pPr>
        <w:spacing w:after="160" w:line="320"/>
        <w:jc w:val="both"/>
      </w:pPr>
      <w:r>
        <w:rPr>
          <w:rFonts w:ascii="Georgia" w:cs="Georgia" w:eastAsia="Georgia" w:hAnsi="Georgia"/>
          <w:b w:val="false"/>
          <w:bCs w:val="false"/>
          <w:color w:val="111827"/>
          <w:sz w:val="22"/>
          <w:szCs w:val="22"/>
        </w:rPr>
        <w:t xml:space="preserve">The right way to think about ITIL in an ISO 20000 context is as the operational content that lives inside the management system shell that ISO 20000 requires. The management system provides the governance infrastructure — the policy, the plan, the audit cycle, the management review, the improvement register. ITIL practices provide the operational detail of how each service management activity is carried out within that infrastructure.</w:t>
      </w:r>
    </w:p>
    <w:p>
      <w:pPr>
        <w:spacing w:after="160" w:line="320"/>
        <w:jc w:val="both"/>
      </w:pPr>
      <w:r>
        <w:rPr>
          <w:rFonts w:ascii="Georgia" w:cs="Georgia" w:eastAsia="Georgia" w:hAnsi="Georgia"/>
          <w:b w:val="false"/>
          <w:bCs w:val="false"/>
          <w:color w:val="111827"/>
          <w:sz w:val="22"/>
          <w:szCs w:val="22"/>
        </w:rPr>
        <w:t xml:space="preserve">In practical terms, this means that when implementing the incident management requirement of ISO 20000 Clause 8.6.1, an ITIL-knowledgeable team can draw directly on ITIL’s incident management practice guidance to design the process: classification scheme, priority matrix, escalation paths, major incident procedure, communication templates, and closure verification. That ITIL-informed process design can then be documented in the format that ISO 20000 requires (a documented procedure, with defined roles and responsibilities, forming part of the SMS documented information set) and operated in the way that ISO 20000 requires (consistently, with records maintained, forming the evidence base for audit).</w:t>
      </w:r>
    </w:p>
    <w:p>
      <w:pPr>
        <w:spacing w:after="160" w:line="320"/>
        <w:jc w:val="both"/>
      </w:pPr>
      <w:r>
        <w:rPr>
          <w:rFonts w:ascii="Georgia" w:cs="Georgia" w:eastAsia="Georgia" w:hAnsi="Georgia"/>
          <w:b w:val="false"/>
          <w:bCs w:val="false"/>
          <w:color w:val="111827"/>
          <w:sz w:val="22"/>
          <w:szCs w:val="22"/>
        </w:rPr>
        <w:t xml:space="preserve">The same approach applies to every Clause 8 practice requirement. ITIL provides rich practical guidance that ITIL-trained practitioners can apply. ISO 20000 defines what must be achieved and evidenced. The implementation task is to bring these two together: design processes that are ITIL-informed and ISO 20000-compliant, document them as part of the SMS, operate them consistently, and generate the evidence that demonstrates compliance.</w:t>
      </w:r>
    </w:p>
    <w:p>
      <w:pPr>
        <w:pBdr>
          <w:bottom w:val="single" w:color="2563A8" w:sz="4" w:space="4"/>
        </w:pBdr>
        <w:spacing w:after="160" w:before="400"/>
      </w:pPr>
      <w:r>
        <w:rPr>
          <w:rFonts w:ascii="Arial" w:cs="Arial" w:eastAsia="Arial" w:hAnsi="Arial"/>
          <w:b/>
          <w:bCs/>
          <w:caps w:val="false"/>
          <w:color w:val="1B3A5C"/>
          <w:sz w:val="28"/>
          <w:szCs w:val="28"/>
        </w:rPr>
        <w:t xml:space="preserve">ITIL 4 and ISO 20000:2018 — The 2018/2019 Alignment</w:t>
      </w:r>
    </w:p>
    <w:p>
      <w:pPr>
        <w:spacing w:after="160" w:line="320"/>
        <w:jc w:val="both"/>
      </w:pPr>
      <w:r>
        <w:rPr>
          <w:rFonts w:ascii="Georgia" w:cs="Georgia" w:eastAsia="Georgia" w:hAnsi="Georgia"/>
          <w:b w:val="false"/>
          <w:bCs w:val="false"/>
          <w:color w:val="111827"/>
          <w:sz w:val="22"/>
          <w:szCs w:val="22"/>
        </w:rPr>
        <w:t xml:space="preserve">The 2018 revision of ISO 20000 and the 2019 launch of ITIL 4 were broadly concurrent, and both reflect a similar evolution in thinking about service management. Both moved away from a purely process-centric view toward a broader systems perspective: ISO 20000 through the High Level Structure management system framework, ITIL 4 through the Service Value System. Both emphasize value co-creation with customers rather than internal process efficiency alone. Both recognize that service management extends beyond IT departments to encompass any organization delivering services.</w:t>
      </w:r>
    </w:p>
    <w:p>
      <w:pPr>
        <w:spacing w:after="160" w:line="320"/>
        <w:jc w:val="both"/>
      </w:pPr>
      <w:r>
        <w:rPr>
          <w:rFonts w:ascii="Georgia" w:cs="Georgia" w:eastAsia="Georgia" w:hAnsi="Georgia"/>
          <w:b w:val="false"/>
          <w:bCs w:val="false"/>
          <w:color w:val="111827"/>
          <w:sz w:val="22"/>
          <w:szCs w:val="22"/>
        </w:rPr>
        <w:t xml:space="preserve">This alignment means that ITIL 4-trained practitioners working on ISO 20000 implementation will find the conceptual vocabulary more compatible than it was between earlier ITIL versions and ISO 20000:2011. However, the fundamental difference in nature — guidance versus requirements standard — remains unchanged. ITIL 4’s Service Value Chain, Guiding Principles, and Four Dimensions of Service Management provide useful implementation perspective but do not substitute for meeting ISO 20000’s “shall” requirements.</w:t>
      </w:r>
    </w:p>
    <w:p>
      <w:pPr>
        <w:pBdr>
          <w:bottom w:val="single" w:color="2563A8" w:sz="4" w:space="4"/>
        </w:pBdr>
        <w:spacing w:after="160" w:before="400"/>
      </w:pPr>
      <w:r>
        <w:rPr>
          <w:rFonts w:ascii="Arial" w:cs="Arial" w:eastAsia="Arial" w:hAnsi="Arial"/>
          <w:b/>
          <w:bCs/>
          <w:caps w:val="false"/>
          <w:color w:val="1B3A5C"/>
          <w:sz w:val="28"/>
          <w:szCs w:val="28"/>
        </w:rPr>
        <w:t xml:space="preserve">Practical Implications for Organizations with ITIL Foundations</w:t>
      </w:r>
    </w:p>
    <w:p>
      <w:pPr>
        <w:spacing w:after="160" w:line="320"/>
        <w:jc w:val="both"/>
      </w:pPr>
      <w:r>
        <w:rPr>
          <w:rFonts w:ascii="Georgia" w:cs="Georgia" w:eastAsia="Georgia" w:hAnsi="Georgia"/>
          <w:b w:val="false"/>
          <w:bCs w:val="false"/>
          <w:color w:val="111827"/>
          <w:sz w:val="22"/>
          <w:szCs w:val="22"/>
        </w:rPr>
        <w:t xml:space="preserve">For organizations that already have ITIL-trained staff and ITIL-influenced processes, the ISO 20000 implementation journey is typically shorter and less disruptive than for organizations starting from scratch. The ITIL vocabulary is shared, process designs in ITIL-aligned areas can be adapted rather than built from zero, and staff typically understand service management concepts without requiring extensive foundational education.</w:t>
      </w:r>
    </w:p>
    <w:p>
      <w:pPr>
        <w:spacing w:after="160" w:line="320"/>
        <w:jc w:val="both"/>
      </w:pPr>
      <w:r>
        <w:rPr>
          <w:rFonts w:ascii="Georgia" w:cs="Georgia" w:eastAsia="Georgia" w:hAnsi="Georgia"/>
          <w:b w:val="false"/>
          <w:bCs w:val="false"/>
          <w:color w:val="111827"/>
          <w:sz w:val="22"/>
          <w:szCs w:val="22"/>
        </w:rPr>
        <w:t xml:space="preserve">However, the management system governance layer — everything above and around the ITIL practices — almost always needs to be built from scratch. This includes the formal service management policy, the service management plan, the internal audit program, the management review process, and the risk and opportunity assessment applied to the SMS. These elements do not exist in a typical ITIL implementation and must be designed and implemented as new SMS infrastructure.</w:t>
      </w:r>
    </w:p>
    <w:p>
      <w:pPr>
        <w:spacing w:after="160" w:line="320"/>
        <w:jc w:val="both"/>
      </w:pPr>
      <w:r>
        <w:rPr>
          <w:rFonts w:ascii="Georgia" w:cs="Georgia" w:eastAsia="Georgia" w:hAnsi="Georgia"/>
          <w:b w:val="false"/>
          <w:bCs w:val="false"/>
          <w:color w:val="111827"/>
          <w:sz w:val="22"/>
          <w:szCs w:val="22"/>
        </w:rPr>
        <w:t xml:space="preserve">The other area that commonly requires significant work even in ITIL-experienced organizations is documented information control. ITIL organizations often have extensive documentation, but it may not be controlled in the way ISO 20000 requires: version-controlled, reviewed at defined intervals, formally approved, and managed through a document register with clear retention and disposition rules.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800"/>
        <w:gridCol w:w="3280"/>
        <w:gridCol w:w="3280"/>
      </w:tblGrid>
      <w:tr>
        <w:trPr>
          <w:tblHeader/>
        </w:trPr>
        <w:tc>
          <w:tcPr>
            <w:tcW w:type="dxa" w:w="2800"/>
            <w:tcBorders>
              <w:top w:val="single" w:color="CCCCCC" w:sz="1"/>
              <w:left w:val="single" w:color="CCCCCC" w:sz="1"/>
              <w:bottom w:val="single" w:color="CCCCCC" w:sz="1"/>
              <w:right w:val="single" w:color="CCCCCC" w:sz="1"/>
            </w:tcBorders>
            <w:shd w:fill="2563A8" w:val="clear"/>
            <w:tcMar>
              <w:top w:type="dxa" w:w="80"/>
              <w:left w:type="dxa" w:w="120"/>
              <w:bottom w:type="dxa" w:w="80"/>
              <w:right w:type="dxa" w:w="120"/>
            </w:tcMar>
          </w:tcPr>
          <w:p>
            <w:r>
              <w:rPr>
                <w:rFonts w:ascii="Arial" w:cs="Arial" w:eastAsia="Arial" w:hAnsi="Arial"/>
                <w:b/>
                <w:bCs/>
                <w:caps w:val="false"/>
                <w:color w:val="FFFFFF"/>
                <w:sz w:val="18"/>
                <w:szCs w:val="18"/>
              </w:rPr>
              <w:t xml:space="preserve">Area</w:t>
            </w:r>
          </w:p>
        </w:tc>
        <w:tc>
          <w:tcPr>
            <w:tcW w:type="dxa" w:w="3280"/>
            <w:tcBorders>
              <w:top w:val="single" w:color="CCCCCC" w:sz="1"/>
              <w:left w:val="single" w:color="CCCCCC" w:sz="1"/>
              <w:bottom w:val="single" w:color="CCCCCC" w:sz="1"/>
              <w:right w:val="single" w:color="CCCCCC" w:sz="1"/>
            </w:tcBorders>
            <w:shd w:fill="2563A8" w:val="clear"/>
            <w:tcMar>
              <w:top w:type="dxa" w:w="80"/>
              <w:left w:type="dxa" w:w="120"/>
              <w:bottom w:type="dxa" w:w="80"/>
              <w:right w:type="dxa" w:w="120"/>
            </w:tcMar>
          </w:tcPr>
          <w:p>
            <w:r>
              <w:rPr>
                <w:rFonts w:ascii="Arial" w:cs="Arial" w:eastAsia="Arial" w:hAnsi="Arial"/>
                <w:b/>
                <w:bCs/>
                <w:caps w:val="false"/>
                <w:color w:val="FFFFFF"/>
                <w:sz w:val="18"/>
                <w:szCs w:val="18"/>
              </w:rPr>
              <w:t xml:space="preserve">Typical Status in ITIL-Experienced Org</w:t>
            </w:r>
          </w:p>
        </w:tc>
        <w:tc>
          <w:tcPr>
            <w:tcW w:type="dxa" w:w="3280"/>
            <w:tcBorders>
              <w:top w:val="single" w:color="CCCCCC" w:sz="1"/>
              <w:left w:val="single" w:color="CCCCCC" w:sz="1"/>
              <w:bottom w:val="single" w:color="CCCCCC" w:sz="1"/>
              <w:right w:val="single" w:color="CCCCCC" w:sz="1"/>
            </w:tcBorders>
            <w:shd w:fill="2563A8" w:val="clear"/>
            <w:tcMar>
              <w:top w:type="dxa" w:w="80"/>
              <w:left w:type="dxa" w:w="120"/>
              <w:bottom w:type="dxa" w:w="80"/>
              <w:right w:type="dxa" w:w="120"/>
            </w:tcMar>
          </w:tcPr>
          <w:p>
            <w:r>
              <w:rPr>
                <w:rFonts w:ascii="Arial" w:cs="Arial" w:eastAsia="Arial" w:hAnsi="Arial"/>
                <w:b/>
                <w:bCs/>
                <w:caps w:val="false"/>
                <w:color w:val="FFFFFF"/>
                <w:sz w:val="18"/>
                <w:szCs w:val="18"/>
              </w:rPr>
              <w:t xml:space="preserve">ISO 20000 Gap Size</w:t>
            </w:r>
          </w:p>
        </w:tc>
      </w:tr>
      <w:tr>
        <w:tc>
          <w:tcPr>
            <w:tcW w:type="dxa" w:w="28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bCs/>
                <w:color w:val="111827"/>
                <w:sz w:val="18"/>
                <w:szCs w:val="18"/>
              </w:rPr>
              <w:t xml:space="preserve">Service management processes (Clause 8)</w:t>
            </w:r>
          </w:p>
        </w:tc>
        <w:tc>
          <w:tcPr>
            <w:tcW w:type="dxa" w:w="32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Often partially designed, informally operated</w:t>
            </w:r>
          </w:p>
        </w:tc>
        <w:tc>
          <w:tcPr>
            <w:tcW w:type="dxa" w:w="32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Medium — formalization and evidence generation needed</w:t>
            </w:r>
          </w:p>
        </w:tc>
      </w:tr>
      <w:tr>
        <w:tc>
          <w:tcPr>
            <w:tcW w:type="dxa" w:w="280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bCs/>
                <w:color w:val="111827"/>
                <w:sz w:val="18"/>
                <w:szCs w:val="18"/>
              </w:rPr>
              <w:t xml:space="preserve">Service management policy (Clause 5.2)</w:t>
            </w:r>
          </w:p>
        </w:tc>
        <w:tc>
          <w:tcPr>
            <w:tcW w:type="dxa" w:w="328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Rarely exists formally</w:t>
            </w:r>
          </w:p>
        </w:tc>
        <w:tc>
          <w:tcPr>
            <w:tcW w:type="dxa" w:w="328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Large — must be created</w:t>
            </w:r>
          </w:p>
        </w:tc>
      </w:tr>
      <w:tr>
        <w:tc>
          <w:tcPr>
            <w:tcW w:type="dxa" w:w="28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bCs/>
                <w:color w:val="111827"/>
                <w:sz w:val="18"/>
                <w:szCs w:val="18"/>
              </w:rPr>
              <w:t xml:space="preserve">Service management plan (Clause 6.3)</w:t>
            </w:r>
          </w:p>
        </w:tc>
        <w:tc>
          <w:tcPr>
            <w:tcW w:type="dxa" w:w="32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Rarely exists formally</w:t>
            </w:r>
          </w:p>
        </w:tc>
        <w:tc>
          <w:tcPr>
            <w:tcW w:type="dxa" w:w="32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Large — must be created</w:t>
            </w:r>
          </w:p>
        </w:tc>
      </w:tr>
      <w:tr>
        <w:tc>
          <w:tcPr>
            <w:tcW w:type="dxa" w:w="280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bCs/>
                <w:color w:val="111827"/>
                <w:sz w:val="18"/>
                <w:szCs w:val="18"/>
              </w:rPr>
              <w:t xml:space="preserve">Internal audit program (Clause 9.2)</w:t>
            </w:r>
          </w:p>
        </w:tc>
        <w:tc>
          <w:tcPr>
            <w:tcW w:type="dxa" w:w="328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Rarely exists for SMS specifically</w:t>
            </w:r>
          </w:p>
        </w:tc>
        <w:tc>
          <w:tcPr>
            <w:tcW w:type="dxa" w:w="328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Large — must be established</w:t>
            </w:r>
          </w:p>
        </w:tc>
      </w:tr>
      <w:tr>
        <w:tc>
          <w:tcPr>
            <w:tcW w:type="dxa" w:w="28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bCs/>
                <w:color w:val="111827"/>
                <w:sz w:val="18"/>
                <w:szCs w:val="18"/>
              </w:rPr>
              <w:t xml:space="preserve">Management review (Clause 9.3)</w:t>
            </w:r>
          </w:p>
        </w:tc>
        <w:tc>
          <w:tcPr>
            <w:tcW w:type="dxa" w:w="32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Rarely structured to ISO 20000 requirements</w:t>
            </w:r>
          </w:p>
        </w:tc>
        <w:tc>
          <w:tcPr>
            <w:tcW w:type="dxa" w:w="32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Large — must be restructured</w:t>
            </w:r>
          </w:p>
        </w:tc>
      </w:tr>
      <w:tr>
        <w:tc>
          <w:tcPr>
            <w:tcW w:type="dxa" w:w="280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bCs/>
                <w:color w:val="111827"/>
                <w:sz w:val="18"/>
                <w:szCs w:val="18"/>
              </w:rPr>
              <w:t xml:space="preserve">Documented information control (Clause 7.5)</w:t>
            </w:r>
          </w:p>
        </w:tc>
        <w:tc>
          <w:tcPr>
            <w:tcW w:type="dxa" w:w="328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Often informal, inconsistently controlled</w:t>
            </w:r>
          </w:p>
        </w:tc>
        <w:tc>
          <w:tcPr>
            <w:tcW w:type="dxa" w:w="328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Medium — formalization and register needed</w:t>
            </w:r>
          </w:p>
        </w:tc>
      </w:tr>
      <w:tr>
        <w:tc>
          <w:tcPr>
            <w:tcW w:type="dxa" w:w="28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bCs/>
                <w:color w:val="111827"/>
                <w:sz w:val="18"/>
                <w:szCs w:val="18"/>
              </w:rPr>
              <w:t xml:space="preserve">Risk management applied to SMS (Clause 6.1)</w:t>
            </w:r>
          </w:p>
        </w:tc>
        <w:tc>
          <w:tcPr>
            <w:tcW w:type="dxa" w:w="32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Operational risk sometimes; SMS risk rarely</w:t>
            </w:r>
          </w:p>
        </w:tc>
        <w:tc>
          <w:tcPr>
            <w:tcW w:type="dxa" w:w="32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Large — must be applied to SMS scope</w:t>
            </w:r>
          </w:p>
        </w:tc>
      </w:tr>
      <w:tr>
        <w:tc>
          <w:tcPr>
            <w:tcW w:type="dxa" w:w="280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bCs/>
                <w:color w:val="111827"/>
                <w:sz w:val="18"/>
                <w:szCs w:val="18"/>
              </w:rPr>
              <w:t xml:space="preserve">Continual improvement register (Clause 10.2)</w:t>
            </w:r>
          </w:p>
        </w:tc>
        <w:tc>
          <w:tcPr>
            <w:tcW w:type="dxa" w:w="328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Informal improvement tracking common</w:t>
            </w:r>
          </w:p>
        </w:tc>
        <w:tc>
          <w:tcPr>
            <w:tcW w:type="dxa" w:w="328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Medium — formalization and linkage to data needed</w:t>
            </w:r>
          </w:p>
        </w:tc>
      </w:tr>
    </w:tbl>
    <w:p>
      <w:pPr>
        <w:spacing w:after="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80"/>
        <w:gridCol w:w="8880"/>
      </w:tblGrid>
      <w:tr>
        <w:tc>
          <w:tcPr>
            <w:tcW w:type="dxa" w:w="480"/>
            <w:tcBorders>
              <w:top w:val="single" w:color="C7D9F0" w:sz="1"/>
              <w:left w:val="single" w:color="C7D9F0" w:sz="1"/>
              <w:bottom w:val="single" w:color="C7D9F0" w:sz="1"/>
              <w:right w:val="none" w:color="FFFFFF" w:sz="0"/>
            </w:tcBorders>
            <w:shd w:fill="2563A8" w:val="clear"/>
            <w:tcMar>
              <w:top w:type="dxa" w:w="120"/>
              <w:left w:type="dxa" w:w="160"/>
              <w:bottom w:type="dxa" w:w="120"/>
              <w:right w:type="dxa" w:w="80"/>
            </w:tcMar>
            <w:vAlign w:val="center"/>
          </w:tcPr>
          <w:p>
            <w:pPr>
              <w:jc w:val="center"/>
            </w:pPr>
            <w:r>
              <w:rPr>
                <w:rFonts w:ascii="Arial" w:cs="Arial" w:eastAsia="Arial" w:hAnsi="Arial"/>
                <w:b/>
                <w:bCs/>
                <w:caps w:val="false"/>
                <w:color w:val="FFFFFF"/>
                <w:sz w:val="18"/>
                <w:szCs w:val="18"/>
              </w:rPr>
              <w:t xml:space="preserve">BITLION INSIGHT</w:t>
            </w:r>
          </w:p>
        </w:tc>
        <w:tc>
          <w:tcPr>
            <w:tcW w:type="dxa" w:w="8880"/>
            <w:tcBorders>
              <w:top w:val="single" w:color="C7D9F0" w:sz="1"/>
              <w:left w:val="none" w:color="FFFFFF" w:sz="0"/>
              <w:bottom w:val="single" w:color="C7D9F0" w:sz="1"/>
              <w:right w:val="single" w:color="C7D9F0" w:sz="1"/>
            </w:tcBorders>
            <w:shd w:fill="EBF2FB" w:val="clear"/>
            <w:tcMar>
              <w:top w:type="dxa" w:w="120"/>
              <w:left w:type="dxa" w:w="160"/>
              <w:bottom w:type="dxa" w:w="120"/>
              <w:right w:type="dxa" w:w="160"/>
            </w:tcMar>
          </w:tcPr>
          <w:p>
            <w:r>
              <w:rPr>
                <w:rFonts w:ascii="Georgia" w:cs="Georgia" w:eastAsia="Georgia" w:hAnsi="Georgia"/>
                <w:b w:val="false"/>
                <w:bCs w:val="false"/>
                <w:color w:val="1B3A5C"/>
                <w:sz w:val="21"/>
                <w:szCs w:val="21"/>
              </w:rPr>
              <w:t xml:space="preserve">Bitlion GRC Platform provides an ISO 20000 gap assessment module that maps current practice against each clause requirement, distinguishing between ITIL-addressable gaps (Clause 8 practice design) and management system governance gaps (Clauses 4–7, 9–10). This distinction helps organizations with ITIL foundations understand exactly what additional work ISO 20000 certification requires, enabling realistic implementation planning and resource allocation.</w:t>
            </w:r>
          </w:p>
        </w:tc>
      </w:tr>
    </w:tbl>
    <w:p>
      <w:pPr>
        <w:pBdr>
          <w:bottom w:val="single" w:color="2563A8" w:sz="4" w:space="4"/>
        </w:pBdr>
        <w:spacing w:after="160" w:before="400"/>
      </w:pPr>
      <w:r>
        <w:rPr>
          <w:rFonts w:ascii="Arial" w:cs="Arial" w:eastAsia="Arial" w:hAnsi="Arial"/>
          <w:b/>
          <w:bCs/>
          <w:caps w:val="false"/>
          <w:color w:val="1B3A5C"/>
          <w:sz w:val="28"/>
          <w:szCs w:val="28"/>
        </w:rPr>
        <w:t xml:space="preserve">Summary: The Right Mental Model</w:t>
      </w:r>
    </w:p>
    <w:p>
      <w:pPr>
        <w:spacing w:after="160" w:line="320"/>
        <w:jc w:val="both"/>
      </w:pPr>
      <w:r>
        <w:rPr>
          <w:rFonts w:ascii="Georgia" w:cs="Georgia" w:eastAsia="Georgia" w:hAnsi="Georgia"/>
          <w:b w:val="false"/>
          <w:bCs w:val="false"/>
          <w:color w:val="111827"/>
          <w:sz w:val="22"/>
          <w:szCs w:val="22"/>
        </w:rPr>
        <w:t xml:space="preserve">The cleanest mental model for understanding the ITIL-ISO 20000 relationship is this: ITIL is the engine, ISO 20000 is the vehicle. A powerful, well-tuned engine — excellent ITIL-informed service management practices — is necessary but not sufficient. The vehicle requires a chassis (management system governance), instruments and controls (monitoring, audit, management review), a service record (documented information), and independent roadworthiness certification (ISO 20000 audit). An engine alone does not constitute a roadworthy vehicle, no matter how well-designed it is.</w:t>
      </w:r>
    </w:p>
    <w:p>
      <w:pPr>
        <w:spacing w:after="160" w:line="320"/>
        <w:jc w:val="both"/>
      </w:pPr>
      <w:r>
        <w:rPr>
          <w:rFonts w:ascii="Georgia" w:cs="Georgia" w:eastAsia="Georgia" w:hAnsi="Georgia"/>
          <w:b w:val="false"/>
          <w:bCs w:val="false"/>
          <w:color w:val="111827"/>
          <w:sz w:val="22"/>
          <w:szCs w:val="22"/>
        </w:rPr>
        <w:t xml:space="preserve">Organizations that approach ISO 20000 with this mental model invest in both dimensions from the start. They leverage their ITIL knowledge and existing process designs as the foundation for Clause 8 compliance while simultaneously building the management system governance infrastructure that ITIL does not provide. Article 3.3 in this Knowledge Hub provides the full gap assessment methodology to identify exactly where your organization stands on both dimensions.</w:t>
      </w:r>
    </w:p>
    <w:p>
      <w:pPr>
        <w:spacing w:after="80"/>
      </w:pPr>
      <w:r>
        <w:t xml:space="preserve"/>
      </w:r>
    </w:p>
    <w:p>
      <w:pPr>
        <w:spacing w:after="200"/>
      </w:pPr>
      <w:r>
        <w:t xml:space="preserve"/>
      </w:r>
    </w:p>
    <w:p>
      <w:pPr>
        <w:pBdr>
          <w:bottom w:val="single" w:color="D1D5DB" w:sz="2" w:space="1"/>
        </w:pBdr>
        <w:spacing w:after="200" w:before="200"/>
      </w:pPr>
      <w:r>
        <w:t xml:space="preserve"/>
      </w:r>
    </w:p>
    <w:p>
      <w:pPr>
        <w:spacing w:after="80"/>
      </w:pPr>
      <w:r>
        <w:t xml:space="preserve"/>
      </w:r>
    </w:p>
    <w:p>
      <w:pPr>
        <w:spacing w:after="40"/>
        <w:jc w:val="center"/>
      </w:pPr>
      <w:r>
        <w:rPr>
          <w:rFonts w:ascii="Arial" w:cs="Arial" w:hAnsi="Arial"/>
          <w:color w:val="9CA3AF"/>
          <w:sz w:val="17"/>
          <w:szCs w:val="17"/>
        </w:rPr>
        <w:t xml:space="preserve">ISO 20000 SMS Knowledge Hub  ·  Bitlion GRC Platform  ·  © 2026</w:t>
      </w:r>
    </w:p>
    <w:p>
      <w:pPr>
        <w:jc w:val="center"/>
      </w:pPr>
      <w:r>
        <w:rPr>
          <w:rFonts w:ascii="Arial" w:cs="Arial" w:hAnsi="Arial"/>
          <w:color w:val="9CA3AF"/>
          <w:sz w:val="17"/>
          <w:szCs w:val="17"/>
        </w:rPr>
        <w:t xml:space="preserve">This document is part of the Bitlion open compliance Knowledge Hub. For implementation support, visit bitlion.ai</w:t>
      </w:r>
    </w:p>
    <w:sectPr>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2026-04-05T08:50:10.289Z</dcterms:created>
  <dcterms:modified xsi:type="dcterms:W3CDTF">2026-04-05T08:50:10.290Z</dcterms:modified>
</cp:coreProperties>
</file>

<file path=docProps/custom.xml><?xml version="1.0" encoding="utf-8"?>
<Properties xmlns="http://schemas.openxmlformats.org/officeDocument/2006/custom-properties" xmlns:vt="http://schemas.openxmlformats.org/officeDocument/2006/docPropsVTypes"/>
</file>